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color w:val="4c1130"/>
          <w:sz w:val="50"/>
          <w:szCs w:val="50"/>
        </w:rPr>
      </w:pPr>
      <w:r w:rsidDel="00000000" w:rsidR="00000000" w:rsidRPr="00000000">
        <w:rPr>
          <w:b w:val="1"/>
          <w:color w:val="4c1130"/>
          <w:sz w:val="50"/>
          <w:szCs w:val="50"/>
          <w:rtl w:val="0"/>
        </w:rPr>
        <w:t xml:space="preserve">A CONTINUACIÓN TE OFRECEMOS 7 EJEMPLOS DE FICHAS DESCRIPTIVAS DE ALUMNOS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color w:val="4c1130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fichas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Ejemplo 1</w:t>
      </w:r>
    </w:p>
    <w:tbl>
      <w:tblPr>
        <w:tblStyle w:val="Table1"/>
        <w:tblW w:w="10170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5190"/>
        <w:tblGridChange w:id="0">
          <w:tblGrid>
            <w:gridCol w:w="4980"/>
            <w:gridCol w:w="519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FICHA DESCRIPTIVA DE ALUMNO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 la Escuela: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___________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___________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Clase: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Asignatura: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___________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Nombre del(a) Maestro(a):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______________________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del Alumno: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Condiciones sociofamiliares: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Por lo que se observa la alumna es de una familia funcional de nivel socioeconómico medio - alto. Por lo que he podido platicar con la madre, está muy al pendiente de sus trabajos escolares.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Condiciones conductuales (valorales) físicas y cognitivas: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 una alumna con NEE que está diagnosticada, por lo que la maestra del ciclo pasado y la madre de familia me comentaron. Le he pedido una copia del diagnóstico que el doctor entregó a la madre pero aun no me lo han mandado. Es una de las alumnas que ha avanzado más en cuanto a la lectoescritura.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alumno cuenta con las siguientes: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Fortalezas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Áreas de oportunidad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Cumple con trabajos que se le encargan.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integra con facilidad a los grupos de trabajo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Operaciones básicas (multiplicación de un dígito y restas de llevar)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0"/>
              </w:numPr>
              <w:spacing w:line="240" w:lineRule="auto"/>
              <w:ind w:left="720" w:hanging="36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Lectoescritura.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Recomendaciones generales </w:t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 bien en el examen diagnóstico no obtuvo un promedio bueno o aprobatorio es una alumna que muestra un avance en cuanto a la lectoescritura esto es bueno pues ese es un logro, integrar al trabajo habitual con los demás alumnos con la finalidad de que consolide la lectoescritura.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Resultados de la evaluación diagnóstica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Promedio obtenido: 2.1</w:t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Necesidades de apoyo: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Contenidos a fortalecer: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Operaciones básicas (multiplicación de un digito y restas de llevar)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9"/>
              </w:numPr>
              <w:spacing w:line="240" w:lineRule="auto"/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Lectoescritura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60" w:line="259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Ejemplo 2</w:t>
      </w: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-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5295"/>
        <w:tblGridChange w:id="0">
          <w:tblGrid>
            <w:gridCol w:w="4890"/>
            <w:gridCol w:w="5295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FICHA DESCRIPTIVA POR ALUMNO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Zona Escolar No.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 la Escuela: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_____________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Clave: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____________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turno:__________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Grupo: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5 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Nombre del(a) Maestro(a):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del Alumno: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Condiciones sociofamiliares: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Por lo que se observa la alumna es de una familia funcional de nivel socioeconómico medio.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Condiciones conductuales (valorales) físicas y cognitivas: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 una alumna con NEE esta diagnosticada por lo que la maestra del ciclo pasado y la madre de familia me comentaron, le  he pedido una copia del diagnóstico que el doctor  entrego a la madre de familia pero aun no me lo han mandado. 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alumno cuenta con las siguientes: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Fortalezas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Áreas de oportunidad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 una alumna que tiene disposición.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integra con facilidad a los grupos de trabajo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Operaciones básicas (multiplicación de un dígito y restas de llevar)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Lectoescritura.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Recomendaciones generales </w:t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 la madre de familia este más al pendiente de los trabajos a realizar en casa, esto con la finalidad de que la alumna desarrolle las habilidades tanto de la lectoescritura como las matemáticas.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Resultados de la evaluación diagnóstica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Promedio obtenido: 3.1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Necesidades de apoyo: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necesita que la madre de familia este más al pendiente de la situación académica de su niña.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Contenidos a fortalecer: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9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Operaciones básicas (multiplicación de un digito y restas de llevar)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9"/>
              </w:numPr>
              <w:spacing w:line="240" w:lineRule="auto"/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Lectoescritura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tabs>
          <w:tab w:val="left" w:pos="5880"/>
        </w:tabs>
        <w:spacing w:after="160" w:line="259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eko" w:cs="Teko" w:eastAsia="Teko" w:hAnsi="Tek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eko" w:cs="Teko" w:eastAsia="Teko" w:hAnsi="Tek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eko" w:cs="Teko" w:eastAsia="Teko" w:hAnsi="Tek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eko" w:cs="Teko" w:eastAsia="Teko" w:hAnsi="Tek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60" w:line="259" w:lineRule="auto"/>
        <w:jc w:val="left"/>
        <w:rPr>
          <w:rFonts w:ascii="Teko" w:cs="Teko" w:eastAsia="Teko" w:hAnsi="Tek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Ejemplo 3</w:t>
      </w:r>
    </w:p>
    <w:p w:rsidR="00000000" w:rsidDel="00000000" w:rsidP="00000000" w:rsidRDefault="00000000" w:rsidRPr="00000000" w14:paraId="0000008C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Ind w:w="-46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590"/>
        <w:gridCol w:w="3195"/>
        <w:gridCol w:w="5310"/>
        <w:tblGridChange w:id="0">
          <w:tblGrid>
            <w:gridCol w:w="1590"/>
            <w:gridCol w:w="3195"/>
            <w:gridCol w:w="531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Alumno: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Fortalezas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Áreas de oportunidad</w:t>
            </w:r>
          </w:p>
        </w:tc>
      </w:tr>
      <w:tr>
        <w:trPr>
          <w:cantSplit w:val="0"/>
          <w:trHeight w:val="23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Cumple con trabajos que se le encargan.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integra con facilidad a los grupos de trabajo.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una alumna que tiene disposición.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Operaciones básicas (multiplicación de un dígito y restas de llevar)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Lectoescritura.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Comprensión Lectora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su consideración en el próximo ciclo escolar 2017-2018</w:t>
            </w:r>
          </w:p>
        </w:tc>
      </w:tr>
      <w:tr>
        <w:trPr>
          <w:cantSplit w:val="0"/>
          <w:trHeight w:val="42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bien en el examen diagnostico no obtuvo un promedio bueno o aprobatorio es una alumna que muestra un avance en cuanto a la lectoescritura esto es bueno pues ese es un logro, integrarla al trabajo habitual con los demás alumnos con la finalidad de que consolide la lectoescritura.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Operaciones básicas (multiplicación de un digito y restas de llevar)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Lectoescritura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 la madre de familia este más al pendiente de los trabajos a realizar en casa, esto con la finalidad de que la alumna desarrolle las habilidades tanto de la lectoescritura como las matemáticas.</w:t>
            </w:r>
          </w:p>
        </w:tc>
      </w:tr>
    </w:tbl>
    <w:p w:rsidR="00000000" w:rsidDel="00000000" w:rsidP="00000000" w:rsidRDefault="00000000" w:rsidRPr="00000000" w14:paraId="000000A6">
      <w:pPr>
        <w:spacing w:after="160" w:line="259" w:lineRule="auto"/>
        <w:rPr>
          <w:rFonts w:ascii="Overlock" w:cs="Overlock" w:eastAsia="Overlock" w:hAnsi="Overlock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60" w:line="259" w:lineRule="auto"/>
        <w:rPr>
          <w:rFonts w:ascii="Overlock" w:cs="Overlock" w:eastAsia="Overlock" w:hAnsi="Overlock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60" w:line="259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Ejemplo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60" w:line="259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60" w:line="259" w:lineRule="auto"/>
        <w:jc w:val="center"/>
        <w:rPr>
          <w:rFonts w:ascii="Overlock" w:cs="Overlock" w:eastAsia="Overlock" w:hAnsi="Overlock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7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08"/>
        <w:gridCol w:w="3725"/>
        <w:gridCol w:w="5264"/>
        <w:tblGridChange w:id="0">
          <w:tblGrid>
            <w:gridCol w:w="1108"/>
            <w:gridCol w:w="3725"/>
            <w:gridCol w:w="5264"/>
          </w:tblGrid>
        </w:tblGridChange>
      </w:tblGrid>
      <w:tr>
        <w:trPr>
          <w:cantSplit w:val="0"/>
          <w:trHeight w:val="45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Alumno: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Fortalezas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Áreas de oportunidad</w:t>
            </w:r>
          </w:p>
        </w:tc>
      </w:tr>
      <w:tr>
        <w:trPr>
          <w:cantSplit w:val="0"/>
          <w:trHeight w:val="344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y lee con facilidad cantidades de hasta 4 cifras.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los algoritmos de las operaciones básicas.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 que algoritmo se debe utilizar para la resolución de problemas.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Expresarse con mayor soltura de forma oral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 lo que lee.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Complejidad de los problemas matemáticos.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Resolución de problemas con grado de dificultad.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 lo que lee.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su consideración en el próximo ciclo escolar 2017-2018</w:t>
            </w:r>
          </w:p>
        </w:tc>
      </w:tr>
      <w:tr>
        <w:trPr>
          <w:cantSplit w:val="0"/>
          <w:trHeight w:val="642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 las operaciones básicas para la resolución de problemas.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y ejercicios matemáticos.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para desarrollar la comprensión lectora, como lecturas y preguntas.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exposiciones donde el alumno tenga que exponer un tema.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Lectura y escritura de distintos tipos de textos.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de acuerdo a sus necesidades educativas.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8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Utilizar el uso de las operaciones básicas en su vida cotidiana.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8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Resolución de problemas con sumas, restas, multiplicaciones, divisiones y fracciones.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160"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60"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60" w:line="259" w:lineRule="auto"/>
        <w:jc w:val="center"/>
        <w:rPr>
          <w:sz w:val="36"/>
          <w:szCs w:val="36"/>
          <w:highlight w:val="yellow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Ejemplo 5: FICHA  DESCRIPTIVA  DE  ALUMNOS  </w:t>
      </w:r>
      <w:r w:rsidDel="00000000" w:rsidR="00000000" w:rsidRPr="00000000">
        <w:rPr>
          <w:b w:val="1"/>
          <w:sz w:val="36"/>
          <w:szCs w:val="36"/>
          <w:highlight w:val="yellow"/>
          <w:rtl w:val="0"/>
        </w:rPr>
        <w:t xml:space="preserve">CON NECESIDADES EDUCATIVAS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666750</wp:posOffset>
            </wp:positionV>
            <wp:extent cx="6553200" cy="1066800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1962150</wp:posOffset>
            </wp:positionV>
            <wp:extent cx="6552565" cy="563562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5635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E">
      <w:pPr>
        <w:spacing w:after="160" w:line="259" w:lineRule="auto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Ejemplo 6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7200900"/>
            <wp:effectExtent b="0" l="0" r="0" t="0"/>
            <wp:docPr descr="E:\Fichas Descriptivas\fi.jpg" id="3" name="image3.jpg"/>
            <a:graphic>
              <a:graphicData uri="http://schemas.openxmlformats.org/drawingml/2006/picture">
                <pic:pic>
                  <pic:nvPicPr>
                    <pic:cNvPr descr="E:\Fichas Descriptivas\fi.jpg" id="0" name="image3.jpg"/>
                    <pic:cNvPicPr preferRelativeResize="0"/>
                  </pic:nvPicPr>
                  <pic:blipFill>
                    <a:blip r:embed="rId10"/>
                    <a:srcRect b="0" l="5139" r="7777" t="14896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0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Ejemplo 7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6388100"/>
            <wp:effectExtent b="0" l="0" r="0" t="0"/>
            <wp:docPr descr="E:\Fichas Descriptivas\Ficha1.jpg" id="1" name="image1.jpg"/>
            <a:graphic>
              <a:graphicData uri="http://schemas.openxmlformats.org/drawingml/2006/picture">
                <pic:pic>
                  <pic:nvPicPr>
                    <pic:cNvPr descr="E:\Fichas Descriptivas\Ficha1.jpg" id="0" name="image1.jpg"/>
                    <pic:cNvPicPr preferRelativeResize="0"/>
                  </pic:nvPicPr>
                  <pic:blipFill>
                    <a:blip r:embed="rId11"/>
                    <a:srcRect b="18887" l="3133" r="5643" t="15617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38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eko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3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modelos-de.com/ficha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Teko-regular.ttf"/><Relationship Id="rId6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