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05.0" w:type="dxa"/>
        <w:jc w:val="left"/>
        <w:tblInd w:w="-1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15"/>
        <w:gridCol w:w="5790"/>
        <w:tblGridChange w:id="0">
          <w:tblGrid>
            <w:gridCol w:w="5715"/>
            <w:gridCol w:w="5790"/>
          </w:tblGrid>
        </w:tblGridChange>
      </w:tblGrid>
      <w:tr>
        <w:tc>
          <w:tcPr>
            <w:shd w:fill="fff2cc" w:val="clear"/>
          </w:tcPr>
          <w:p w:rsidR="00000000" w:rsidDel="00000000" w:rsidP="00000000" w:rsidRDefault="00000000" w:rsidRPr="00000000" w14:paraId="00000002">
            <w:pPr>
              <w:spacing w:after="200" w:line="240" w:lineRule="auto"/>
              <w:jc w:val="center"/>
              <w:rPr>
                <w:b w:val="1"/>
                <w:sz w:val="30"/>
                <w:szCs w:val="30"/>
                <w:shd w:fill="fff2cc" w:val="clear"/>
              </w:rPr>
            </w:pPr>
            <w:r w:rsidDel="00000000" w:rsidR="00000000" w:rsidRPr="00000000">
              <w:rPr>
                <w:b w:val="1"/>
                <w:sz w:val="30"/>
                <w:szCs w:val="30"/>
                <w:shd w:fill="fff2cc" w:val="clear"/>
                <w:rtl w:val="0"/>
              </w:rPr>
              <w:t xml:space="preserve">Método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3">
            <w:pPr>
              <w:spacing w:after="200" w:line="240" w:lineRule="auto"/>
              <w:jc w:val="center"/>
              <w:rPr>
                <w:b w:val="1"/>
                <w:sz w:val="30"/>
                <w:szCs w:val="30"/>
                <w:shd w:fill="fff2cc" w:val="clear"/>
              </w:rPr>
            </w:pPr>
            <w:r w:rsidDel="00000000" w:rsidR="00000000" w:rsidRPr="00000000">
              <w:rPr>
                <w:b w:val="1"/>
                <w:sz w:val="30"/>
                <w:szCs w:val="30"/>
                <w:shd w:fill="fff2cc" w:val="clear"/>
                <w:rtl w:val="0"/>
              </w:rPr>
              <w:t xml:space="preserve">Técnica</w:t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Es el proceso de pasos que se siguen para cumplir un objetivo.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Son los procedimientos que se emplean para logar un fin. 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Se pueden aplicar métodos: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Analítico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Inductivo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Deductivo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Sintético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Lógico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Empírico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Hipotético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Algunas de las técnicas aplicables son: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Dibujos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Grabaciones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Estudio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Vocal.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Es un conjunto de estructuras y procesos.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Establece reglas y procedimientos. </w:t>
            </w:r>
          </w:p>
        </w:tc>
      </w:tr>
      <w:tr>
        <w:trPr>
          <w:trHeight w:val="239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Tiene un enfoque integral.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Posee enfoque restringido. </w:t>
            </w:r>
          </w:p>
        </w:tc>
      </w:tr>
      <w:tr>
        <w:trPr>
          <w:trHeight w:val="342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Se planea y establece el diseño de la investigación.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Son saberes prácticos. 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Establece reglas y criterios.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Son las acciones que se aplican en relación a las reglas y criterios. </w:t>
            </w:r>
          </w:p>
        </w:tc>
      </w:tr>
      <w:tr>
        <w:trPr>
          <w:trHeight w:val="384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Se encarga de delimitar las técnicas idóneas para cada caso.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Sirve para desarrollar el método. </w:t>
            </w:r>
          </w:p>
        </w:tc>
      </w:tr>
      <w:tr>
        <w:trPr>
          <w:trHeight w:val="83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Determina los pasos a seguir.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Son los pasos que se siguen.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200" w:line="240" w:lineRule="auto"/>
        <w:rPr>
          <w:color w:val="3a3a3a"/>
          <w:sz w:val="26"/>
          <w:szCs w:val="26"/>
        </w:rPr>
      </w:pPr>
      <w:r w:rsidDel="00000000" w:rsidR="00000000" w:rsidRPr="00000000">
        <w:rPr>
          <w:color w:val="3a3a3a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20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170.078740157480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ind w:left="-1440" w:right="-144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7181850" cy="20290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2029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ind w:left="-1417.3228346456694" w:right="-1440" w:firstLine="0"/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7224713" cy="681401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1100" y="140975"/>
                        <a:ext cx="7224713" cy="681401"/>
                        <a:chOff x="131100" y="140975"/>
                        <a:chExt cx="7357800" cy="6756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31100" y="140975"/>
                          <a:ext cx="7357800" cy="6756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7FF8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131100" y="140975"/>
                          <a:ext cx="7357800" cy="6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54"/>
                                <w:vertAlign w:val="baseline"/>
                              </w:rPr>
                              <w:t xml:space="preserve">Cuadro comparativo de Método y técnica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224713" cy="681401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24713" cy="681401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